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C8" w:rsidRDefault="009B0C73">
      <w:pPr>
        <w:pStyle w:val="a3"/>
        <w:widowControl/>
        <w:shd w:val="clear" w:color="auto" w:fill="FFFFFF"/>
        <w:spacing w:line="315" w:lineRule="atLeast"/>
        <w:ind w:firstLine="420"/>
        <w:jc w:val="center"/>
        <w:rPr>
          <w:rFonts w:ascii="宋体" w:eastAsia="宋体" w:hAnsi="宋体" w:cs="宋体"/>
          <w:color w:val="222222"/>
          <w:sz w:val="21"/>
          <w:szCs w:val="21"/>
        </w:rPr>
      </w:pPr>
      <w:r>
        <w:rPr>
          <w:rStyle w:val="a4"/>
          <w:rFonts w:ascii="宋体" w:eastAsia="宋体" w:hAnsi="宋体" w:cs="宋体" w:hint="eastAsia"/>
          <w:color w:val="222222"/>
          <w:sz w:val="21"/>
          <w:szCs w:val="21"/>
          <w:shd w:val="clear" w:color="auto" w:fill="FFFFFF"/>
        </w:rPr>
        <w:t>2021年广东医科大学</w:t>
      </w:r>
      <w:r w:rsidR="00CA3519">
        <w:rPr>
          <w:rStyle w:val="a4"/>
          <w:rFonts w:ascii="宋体" w:eastAsia="宋体" w:hAnsi="宋体" w:cs="宋体" w:hint="eastAsia"/>
          <w:color w:val="222222"/>
          <w:sz w:val="21"/>
          <w:szCs w:val="21"/>
          <w:shd w:val="clear" w:color="auto" w:fill="FFFFFF"/>
        </w:rPr>
        <w:t>成人高等教育简介</w:t>
      </w:r>
    </w:p>
    <w:p w:rsidR="0066797F" w:rsidRDefault="0066797F" w:rsidP="008E35B6">
      <w:pPr>
        <w:pStyle w:val="a3"/>
        <w:widowControl/>
        <w:shd w:val="clear" w:color="auto" w:fill="FFFFFF"/>
        <w:spacing w:line="315" w:lineRule="atLeast"/>
        <w:rPr>
          <w:rFonts w:ascii="宋体" w:eastAsia="宋体" w:hAnsi="宋体" w:cs="宋体"/>
          <w:color w:val="222222"/>
          <w:sz w:val="21"/>
          <w:szCs w:val="21"/>
          <w:shd w:val="clear" w:color="auto" w:fill="FFFFFF"/>
        </w:rPr>
      </w:pPr>
      <w:r>
        <w:rPr>
          <w:rFonts w:ascii="宋体" w:eastAsia="宋体" w:hAnsi="宋体" w:cs="宋体" w:hint="eastAsia"/>
          <w:noProof/>
          <w:color w:val="222222"/>
          <w:sz w:val="21"/>
          <w:szCs w:val="21"/>
          <w:shd w:val="clear" w:color="auto" w:fill="FFFFFF"/>
        </w:rPr>
        <w:drawing>
          <wp:inline distT="0" distB="0" distL="0" distR="0">
            <wp:extent cx="5581650" cy="1570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909102127.png"/>
                    <pic:cNvPicPr/>
                  </pic:nvPicPr>
                  <pic:blipFill>
                    <a:blip r:embed="rId8">
                      <a:extLst>
                        <a:ext uri="{28A0092B-C50C-407E-A947-70E740481C1C}">
                          <a14:useLocalDpi xmlns:a14="http://schemas.microsoft.com/office/drawing/2010/main" val="0"/>
                        </a:ext>
                      </a:extLst>
                    </a:blip>
                    <a:stretch>
                      <a:fillRect/>
                    </a:stretch>
                  </pic:blipFill>
                  <pic:spPr>
                    <a:xfrm>
                      <a:off x="0" y="0"/>
                      <a:ext cx="5593667" cy="1574097"/>
                    </a:xfrm>
                    <a:prstGeom prst="rect">
                      <a:avLst/>
                    </a:prstGeom>
                  </pic:spPr>
                </pic:pic>
              </a:graphicData>
            </a:graphic>
          </wp:inline>
        </w:drawing>
      </w:r>
      <w:r w:rsidR="008E35B6">
        <w:rPr>
          <w:rFonts w:ascii="宋体" w:eastAsia="宋体" w:hAnsi="宋体" w:cs="宋体"/>
          <w:noProof/>
          <w:color w:val="222222"/>
          <w:sz w:val="21"/>
          <w:szCs w:val="21"/>
          <w:shd w:val="clear" w:color="auto" w:fill="FFFFFF"/>
        </w:rPr>
        <w:drawing>
          <wp:inline distT="0" distB="0" distL="0" distR="0" wp14:anchorId="34CE991A">
            <wp:extent cx="5629275" cy="2598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5889" cy="2597112"/>
                    </a:xfrm>
                    <a:prstGeom prst="rect">
                      <a:avLst/>
                    </a:prstGeom>
                    <a:noFill/>
                  </pic:spPr>
                </pic:pic>
              </a:graphicData>
            </a:graphic>
          </wp:inline>
        </w:drawing>
      </w:r>
    </w:p>
    <w:p w:rsidR="00610AC8" w:rsidRDefault="00CA3519">
      <w:pPr>
        <w:pStyle w:val="a3"/>
        <w:widowControl/>
        <w:shd w:val="clear" w:color="auto" w:fill="FFFFFF"/>
        <w:spacing w:line="315" w:lineRule="atLeast"/>
        <w:ind w:firstLine="420"/>
        <w:rPr>
          <w:rFonts w:ascii="宋体" w:eastAsia="宋体" w:hAnsi="宋体" w:cs="宋体"/>
          <w:color w:val="222222"/>
          <w:sz w:val="21"/>
          <w:szCs w:val="21"/>
        </w:rPr>
      </w:pPr>
      <w:r>
        <w:rPr>
          <w:rFonts w:ascii="宋体" w:eastAsia="宋体" w:hAnsi="宋体" w:cs="宋体" w:hint="eastAsia"/>
          <w:color w:val="222222"/>
          <w:sz w:val="21"/>
          <w:szCs w:val="21"/>
          <w:shd w:val="clear" w:color="auto" w:fill="FFFFFF"/>
        </w:rPr>
        <w:t>广东医科大学成人高等教育从1984年开始招生，在三十多年的办学历程中，一直坚持“大校园”的办学理念，与教学点一道竭诚为学生服务。学校的成人教育一直按照“五个统一”的原则（统一教学计划、统一教学大纲、统一教材版本、统一考试标准、统一学籍管理）进行教学和管理，保障教学质量，实行规范化管理。为较好地解决学生的工学矛盾，设有教师面授、网上学习和网上答疑等学习形式开展灵活教学和学习。</w:t>
      </w:r>
    </w:p>
    <w:p w:rsidR="00610AC8" w:rsidRDefault="00CA3519">
      <w:pPr>
        <w:pStyle w:val="a3"/>
        <w:widowControl/>
        <w:shd w:val="clear" w:color="auto" w:fill="FFFFFF"/>
        <w:spacing w:line="315" w:lineRule="atLeast"/>
        <w:ind w:firstLine="420"/>
        <w:rPr>
          <w:rFonts w:ascii="宋体" w:eastAsia="宋体" w:hAnsi="宋体" w:cs="宋体"/>
          <w:color w:val="222222"/>
          <w:sz w:val="21"/>
          <w:szCs w:val="21"/>
        </w:rPr>
      </w:pPr>
      <w:r>
        <w:rPr>
          <w:rFonts w:ascii="宋体" w:eastAsia="宋体" w:hAnsi="宋体" w:cs="宋体" w:hint="eastAsia"/>
          <w:color w:val="222222"/>
          <w:sz w:val="21"/>
          <w:szCs w:val="21"/>
          <w:shd w:val="clear" w:color="auto" w:fill="FFFFFF"/>
        </w:rPr>
        <w:t>学校成人高等教育教学单位除湛江校区、东莞校区及附属第三医院（顺德龙江医院）外，还设有经教育厅批准备案的湛江卫生学校、珠海市卫生学校、茂名卫生学校、江门中医药学校、东源卫生职业技术学校、惠州卫生职业技术学院、新兴中药学校、湛江中医学校、顺德职业技术学院、东莞市岭南培训中心、深圳市卫生健康能力建设和继续教育中心、广东黄埔卫生职业技术学校、深圳市宝康卫生培训中心（龙岗）、增城市蓝十字卫生教育培训中心、廉江市卫生职业技术学校、怀集县卫生培训中心、肇庆医学高等专科学校、清远职业技术学院、梅州市卫生职业技术学校19个校外教学点，完全能满足学生就近入学的需要。</w:t>
      </w:r>
    </w:p>
    <w:p w:rsidR="00610AC8" w:rsidRDefault="00CA3519">
      <w:pPr>
        <w:pStyle w:val="a3"/>
        <w:widowControl/>
        <w:shd w:val="clear" w:color="auto" w:fill="FFFFFF"/>
        <w:spacing w:line="315" w:lineRule="atLeast"/>
        <w:ind w:firstLine="420"/>
        <w:rPr>
          <w:rFonts w:ascii="宋体" w:eastAsia="宋体" w:hAnsi="宋体" w:cs="宋体"/>
          <w:color w:val="222222"/>
          <w:sz w:val="21"/>
          <w:szCs w:val="21"/>
          <w:shd w:val="clear" w:color="auto" w:fill="FFFFFF"/>
        </w:rPr>
      </w:pPr>
      <w:r>
        <w:rPr>
          <w:rFonts w:ascii="宋体" w:eastAsia="宋体" w:hAnsi="宋体" w:cs="宋体" w:hint="eastAsia"/>
          <w:color w:val="222222"/>
          <w:sz w:val="21"/>
          <w:szCs w:val="21"/>
          <w:shd w:val="clear" w:color="auto" w:fill="FFFFFF"/>
        </w:rPr>
        <w:t>目前，学校成人高等教育有专科和专科升本科两个层次的学历教育，设临床医学、护理学、药学、医学检验、医学影像、口腔医学、等多个专业，在校生达33000多人；学制灵活，实施学年学分制管理，本、专科学习期限均为3～5年，学生可根据自己的实际情况，在规定的年限内作好学习计划，以保证顺利地完成学业。学校严格执行由广东省物价部门规定的成人高等教育缴费标准，是全省收费较低的医学院校。</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610AC8">
        <w:trPr>
          <w:tblCellSpacing w:w="15" w:type="dxa"/>
        </w:trPr>
        <w:tc>
          <w:tcPr>
            <w:tcW w:w="0" w:type="auto"/>
            <w:shd w:val="clear" w:color="auto" w:fill="FFFFFF"/>
            <w:vAlign w:val="center"/>
          </w:tcPr>
          <w:p w:rsidR="00610AC8" w:rsidRDefault="00CA3519" w:rsidP="008E35B6">
            <w:pPr>
              <w:widowControl/>
              <w:ind w:firstLineChars="344" w:firstLine="967"/>
              <w:rPr>
                <w:rFonts w:ascii="宋体" w:eastAsia="宋体" w:hAnsi="宋体" w:cs="宋体"/>
                <w:color w:val="000000"/>
                <w:sz w:val="18"/>
                <w:szCs w:val="18"/>
              </w:rPr>
            </w:pPr>
            <w:r>
              <w:rPr>
                <w:rFonts w:ascii="宋体" w:eastAsia="宋体" w:hAnsi="宋体" w:cs="宋体" w:hint="eastAsia"/>
                <w:b/>
                <w:bCs/>
                <w:color w:val="000000"/>
                <w:kern w:val="0"/>
                <w:sz w:val="28"/>
                <w:szCs w:val="28"/>
                <w:lang w:bidi="ar"/>
              </w:rPr>
              <w:lastRenderedPageBreak/>
              <w:t>广东医科大学2021年成人高等教育报考声明</w:t>
            </w:r>
          </w:p>
        </w:tc>
      </w:tr>
      <w:tr w:rsidR="00610AC8">
        <w:trPr>
          <w:tblCellSpacing w:w="15" w:type="dxa"/>
        </w:trPr>
        <w:tc>
          <w:tcPr>
            <w:tcW w:w="0" w:type="auto"/>
            <w:shd w:val="clear" w:color="auto" w:fill="FFFFFF"/>
            <w:vAlign w:val="center"/>
          </w:tcPr>
          <w:p w:rsidR="00610AC8" w:rsidRPr="008E35B6" w:rsidRDefault="00610AC8" w:rsidP="008E35B6">
            <w:pPr>
              <w:rPr>
                <w:rFonts w:ascii="宋体" w:eastAsia="宋体" w:hAnsi="宋体" w:cs="宋体"/>
                <w:color w:val="000000"/>
                <w:sz w:val="18"/>
                <w:szCs w:val="18"/>
              </w:rPr>
            </w:pPr>
          </w:p>
        </w:tc>
      </w:tr>
      <w:tr w:rsidR="00610AC8">
        <w:trPr>
          <w:tblCellSpacing w:w="15" w:type="dxa"/>
        </w:trPr>
        <w:tc>
          <w:tcPr>
            <w:tcW w:w="0" w:type="auto"/>
            <w:shd w:val="clear" w:color="auto" w:fill="FFFFFF"/>
            <w:vAlign w:val="center"/>
          </w:tcPr>
          <w:p w:rsidR="00610AC8" w:rsidRDefault="00CA3519" w:rsidP="008E35B6">
            <w:pPr>
              <w:pStyle w:val="a3"/>
              <w:widowControl/>
              <w:spacing w:line="315" w:lineRule="atLeast"/>
              <w:rPr>
                <w:sz w:val="21"/>
                <w:szCs w:val="21"/>
              </w:rPr>
            </w:pPr>
            <w:r>
              <w:rPr>
                <w:rFonts w:ascii="宋体" w:eastAsia="宋体" w:hAnsi="宋体" w:cs="宋体" w:hint="eastAsia"/>
                <w:color w:val="222222"/>
                <w:sz w:val="21"/>
                <w:szCs w:val="21"/>
              </w:rPr>
              <w:t>广大考生：</w:t>
            </w:r>
          </w:p>
          <w:p w:rsidR="00610AC8" w:rsidRDefault="00CA3519" w:rsidP="008E35B6">
            <w:pPr>
              <w:pStyle w:val="a3"/>
              <w:widowControl/>
              <w:adjustRightInd w:val="0"/>
              <w:snapToGrid w:val="0"/>
              <w:spacing w:before="100" w:after="100"/>
              <w:ind w:firstLine="420"/>
              <w:rPr>
                <w:sz w:val="21"/>
                <w:szCs w:val="21"/>
              </w:rPr>
            </w:pPr>
            <w:r>
              <w:rPr>
                <w:rFonts w:ascii="宋体" w:eastAsia="宋体" w:hAnsi="宋体" w:cs="宋体" w:hint="eastAsia"/>
                <w:color w:val="222222"/>
                <w:sz w:val="21"/>
                <w:szCs w:val="21"/>
              </w:rPr>
              <w:t>我校近年来发现某些社会机构冒充我校成人高等教育招生部门或合作单位在社会上虚假宣传，欺骗考生，严重损坏了我校及教学点的声誉和利益。为避免考生上当受骗，维护学校及教学点的声誉和利益，现就我校成人高等教育有关报考等事项作如下声明：</w:t>
            </w:r>
          </w:p>
          <w:p w:rsidR="00610AC8" w:rsidRDefault="00CA3519" w:rsidP="008E35B6">
            <w:pPr>
              <w:pStyle w:val="a3"/>
              <w:widowControl/>
              <w:adjustRightInd w:val="0"/>
              <w:snapToGrid w:val="0"/>
              <w:spacing w:before="100" w:after="100"/>
              <w:ind w:firstLine="420"/>
              <w:rPr>
                <w:sz w:val="21"/>
                <w:szCs w:val="21"/>
              </w:rPr>
            </w:pPr>
            <w:r>
              <w:rPr>
                <w:rFonts w:ascii="宋体" w:eastAsia="宋体" w:hAnsi="宋体" w:cs="宋体" w:hint="eastAsia"/>
                <w:color w:val="222222"/>
                <w:sz w:val="21"/>
                <w:szCs w:val="21"/>
              </w:rPr>
              <w:t>一、我校除湛江校区、东莞校区及附属第三医院（顺德龙江医院）外，在全省共有19个教学点（教学点是经学校审核同意、合作办学的机构，受学校委托开展招生宣传、教学及学生管理等工作），分别如下：湛江卫校教学点、湛江中医学校教学点、茂名卫校教学点、江门中医药学校教学点、珠海卫校教学点、黄埔卫校教学点、顺德职业技术学院教学点、增城蓝十字卫生教育培训中心教学点、东莞岭南培训中心教学点、惠州卫职院教学点、新兴中药学校教学点、东源卫校教学点、深圳宝康卫生培训中心教学点、深圳卫生健康能力建设和继续教育中心教学点、怀集培生培训中心教学点、廉江卫校教学点、梅州卫校教学点、清远职业技术学院教学点、肇庆</w:t>
            </w:r>
            <w:proofErr w:type="gramStart"/>
            <w:r>
              <w:rPr>
                <w:rFonts w:ascii="宋体" w:eastAsia="宋体" w:hAnsi="宋体" w:cs="宋体" w:hint="eastAsia"/>
                <w:color w:val="222222"/>
                <w:sz w:val="21"/>
                <w:szCs w:val="21"/>
              </w:rPr>
              <w:t>医专教学</w:t>
            </w:r>
            <w:proofErr w:type="gramEnd"/>
            <w:r>
              <w:rPr>
                <w:rFonts w:ascii="宋体" w:eastAsia="宋体" w:hAnsi="宋体" w:cs="宋体" w:hint="eastAsia"/>
                <w:color w:val="222222"/>
                <w:sz w:val="21"/>
                <w:szCs w:val="21"/>
              </w:rPr>
              <w:t>点。除以上机构外，其余任何机构冒用我校名义开展的招生宣传活动均为虚假宣传，我校均不承认并有权追究其侵权行为。</w:t>
            </w:r>
          </w:p>
          <w:p w:rsidR="008E35B6" w:rsidRDefault="00CA3519" w:rsidP="008E35B6">
            <w:pPr>
              <w:pStyle w:val="a3"/>
              <w:widowControl/>
              <w:adjustRightInd w:val="0"/>
              <w:snapToGrid w:val="0"/>
              <w:spacing w:before="100" w:after="100"/>
              <w:ind w:firstLine="420"/>
              <w:rPr>
                <w:rFonts w:hint="eastAsia"/>
                <w:sz w:val="21"/>
                <w:szCs w:val="21"/>
              </w:rPr>
            </w:pPr>
            <w:r>
              <w:rPr>
                <w:rFonts w:ascii="宋体" w:eastAsia="宋体" w:hAnsi="宋体" w:cs="宋体" w:hint="eastAsia"/>
                <w:color w:val="222222"/>
                <w:sz w:val="21"/>
                <w:szCs w:val="21"/>
              </w:rPr>
              <w:t>二、我校成人高等教育学费为：大专3250元/年，专升本3510元/年，教材费约1200元/套（教材由学生自愿选择购买方式），学制为三年。除此以外，学校不收取其他任何学杂费用，也不承诺减免任何费用，凡加收或减免费用的，均非学校行为，我校概不负责，请考生慎重。</w:t>
            </w:r>
          </w:p>
          <w:p w:rsidR="00610AC8" w:rsidRDefault="00CA3519" w:rsidP="008E35B6">
            <w:pPr>
              <w:pStyle w:val="a3"/>
              <w:widowControl/>
              <w:adjustRightInd w:val="0"/>
              <w:snapToGrid w:val="0"/>
              <w:spacing w:before="100" w:after="100"/>
              <w:ind w:firstLine="420"/>
              <w:rPr>
                <w:sz w:val="21"/>
                <w:szCs w:val="21"/>
              </w:rPr>
            </w:pPr>
            <w:r>
              <w:rPr>
                <w:rFonts w:ascii="宋体" w:eastAsia="宋体" w:hAnsi="宋体" w:cs="宋体" w:hint="eastAsia"/>
                <w:color w:val="222222"/>
                <w:sz w:val="21"/>
                <w:szCs w:val="21"/>
              </w:rPr>
              <w:t>三、学生以“就近上学”为原则，不允许跨区域就读，</w:t>
            </w:r>
            <w:proofErr w:type="gramStart"/>
            <w:r>
              <w:rPr>
                <w:rFonts w:ascii="宋体" w:eastAsia="宋体" w:hAnsi="宋体" w:cs="宋体" w:hint="eastAsia"/>
                <w:color w:val="222222"/>
                <w:sz w:val="21"/>
                <w:szCs w:val="21"/>
              </w:rPr>
              <w:t>凡承诺</w:t>
            </w:r>
            <w:proofErr w:type="gramEnd"/>
            <w:r>
              <w:rPr>
                <w:rFonts w:ascii="宋体" w:eastAsia="宋体" w:hAnsi="宋体" w:cs="宋体" w:hint="eastAsia"/>
                <w:color w:val="222222"/>
                <w:sz w:val="21"/>
                <w:szCs w:val="21"/>
              </w:rPr>
              <w:t>不上课，不考试，交钱就可领毕业证的均为虚假宣传，我校均不承认、概不负责。我校是省属重点建设大学，具有良好的社会声誉，建校60多年来为国家、地方和社会培养了大量优秀的医疗卫生人才，我们靠的是优秀的师资队伍和严格完善的管理体制，绝非买卖文凭的肮脏之地。</w:t>
            </w:r>
          </w:p>
          <w:p w:rsidR="00610AC8" w:rsidRDefault="00CA3519" w:rsidP="008E35B6">
            <w:pPr>
              <w:pStyle w:val="a3"/>
              <w:widowControl/>
              <w:adjustRightInd w:val="0"/>
              <w:snapToGrid w:val="0"/>
              <w:spacing w:before="100" w:after="100"/>
              <w:ind w:firstLine="420"/>
              <w:rPr>
                <w:sz w:val="21"/>
                <w:szCs w:val="21"/>
              </w:rPr>
            </w:pPr>
            <w:r>
              <w:rPr>
                <w:rFonts w:ascii="宋体" w:eastAsia="宋体" w:hAnsi="宋体" w:cs="宋体" w:hint="eastAsia"/>
                <w:color w:val="222222"/>
                <w:sz w:val="21"/>
                <w:szCs w:val="21"/>
              </w:rPr>
              <w:t>四、我校以“区域招生”为原则，不允许</w:t>
            </w:r>
            <w:proofErr w:type="gramStart"/>
            <w:r>
              <w:rPr>
                <w:rFonts w:ascii="宋体" w:eastAsia="宋体" w:hAnsi="宋体" w:cs="宋体" w:hint="eastAsia"/>
                <w:color w:val="222222"/>
                <w:sz w:val="21"/>
                <w:szCs w:val="21"/>
              </w:rPr>
              <w:t>教学点跨区域</w:t>
            </w:r>
            <w:proofErr w:type="gramEnd"/>
            <w:r>
              <w:rPr>
                <w:rFonts w:ascii="宋体" w:eastAsia="宋体" w:hAnsi="宋体" w:cs="宋体" w:hint="eastAsia"/>
                <w:color w:val="222222"/>
                <w:sz w:val="21"/>
                <w:szCs w:val="21"/>
              </w:rPr>
              <w:t>开展招生宣传活动，广大考生如发现跨区域招生的，请慎重选择，谨防上当受骗。</w:t>
            </w:r>
          </w:p>
          <w:p w:rsidR="00610AC8" w:rsidRDefault="00CA3519" w:rsidP="008E35B6">
            <w:pPr>
              <w:pStyle w:val="a3"/>
              <w:widowControl/>
              <w:adjustRightInd w:val="0"/>
              <w:snapToGrid w:val="0"/>
              <w:spacing w:before="100" w:after="100"/>
              <w:ind w:firstLine="420"/>
              <w:rPr>
                <w:sz w:val="21"/>
                <w:szCs w:val="21"/>
              </w:rPr>
            </w:pPr>
            <w:r>
              <w:rPr>
                <w:rFonts w:ascii="宋体" w:eastAsia="宋体" w:hAnsi="宋体" w:cs="宋体" w:hint="eastAsia"/>
                <w:color w:val="222222"/>
                <w:sz w:val="21"/>
                <w:szCs w:val="21"/>
              </w:rPr>
              <w:t>五、建议广大考生自行登陆广东省教育考试院官方网站（http://eea.gd.gov.cn/）报名，填写正确的个人信息和联系方式，以便于录取后我校快速准确地与考生联系。若通过社会机构报名的，录取后我校难以联系到考生本人，将无法通知考生报到，由此产生的后果由考生自负。</w:t>
            </w:r>
          </w:p>
          <w:p w:rsidR="00610AC8" w:rsidRDefault="00CA3519" w:rsidP="008E35B6">
            <w:pPr>
              <w:pStyle w:val="a3"/>
              <w:widowControl/>
              <w:adjustRightInd w:val="0"/>
              <w:snapToGrid w:val="0"/>
              <w:spacing w:before="100" w:after="100"/>
              <w:ind w:firstLine="420"/>
              <w:rPr>
                <w:sz w:val="21"/>
                <w:szCs w:val="21"/>
              </w:rPr>
            </w:pPr>
            <w:r>
              <w:rPr>
                <w:rFonts w:ascii="宋体" w:eastAsia="宋体" w:hAnsi="宋体" w:cs="宋体" w:hint="eastAsia"/>
                <w:color w:val="222222"/>
                <w:sz w:val="21"/>
                <w:szCs w:val="21"/>
              </w:rPr>
              <w:t>六、社会机构未经我校允许、冒充我校开展的招生宣传均为违法行为，如有损害广大考生、学校及教学点利益的，我们有权追究其责任，敬请有关机构立即停止此类违法行为。</w:t>
            </w:r>
          </w:p>
          <w:p w:rsidR="00610AC8" w:rsidRDefault="00CA3519" w:rsidP="008E35B6">
            <w:pPr>
              <w:pStyle w:val="a3"/>
              <w:widowControl/>
              <w:adjustRightInd w:val="0"/>
              <w:snapToGrid w:val="0"/>
              <w:spacing w:before="100" w:after="100"/>
              <w:ind w:firstLine="420"/>
              <w:rPr>
                <w:sz w:val="21"/>
                <w:szCs w:val="21"/>
              </w:rPr>
            </w:pPr>
            <w:r>
              <w:rPr>
                <w:rFonts w:ascii="宋体" w:eastAsia="宋体" w:hAnsi="宋体" w:cs="宋体" w:hint="eastAsia"/>
                <w:color w:val="222222"/>
                <w:sz w:val="21"/>
                <w:szCs w:val="21"/>
              </w:rPr>
              <w:t>七、广大考生如有疑问，可登陆我校成人高等教育官方网站（https://jxjyxy.gdmu.edu.cn/）查询。</w:t>
            </w:r>
          </w:p>
          <w:p w:rsidR="00610AC8" w:rsidRDefault="00CA3519">
            <w:pPr>
              <w:pStyle w:val="a3"/>
              <w:widowControl/>
              <w:spacing w:line="315" w:lineRule="atLeast"/>
              <w:ind w:firstLine="420"/>
              <w:rPr>
                <w:sz w:val="21"/>
                <w:szCs w:val="21"/>
              </w:rPr>
            </w:pPr>
            <w:r>
              <w:rPr>
                <w:rFonts w:ascii="宋体" w:eastAsia="宋体" w:hAnsi="宋体" w:cs="宋体" w:hint="eastAsia"/>
                <w:color w:val="222222"/>
                <w:sz w:val="21"/>
                <w:szCs w:val="21"/>
              </w:rPr>
              <w:t>特此声明。</w:t>
            </w:r>
          </w:p>
          <w:p w:rsidR="00610AC8" w:rsidRDefault="00CA3519">
            <w:pPr>
              <w:pStyle w:val="a3"/>
              <w:widowControl/>
              <w:spacing w:line="315" w:lineRule="atLeast"/>
              <w:ind w:firstLine="420"/>
              <w:jc w:val="right"/>
              <w:rPr>
                <w:sz w:val="21"/>
                <w:szCs w:val="21"/>
              </w:rPr>
            </w:pPr>
            <w:r>
              <w:rPr>
                <w:rFonts w:ascii="宋体" w:eastAsia="宋体" w:hAnsi="宋体" w:cs="宋体" w:hint="eastAsia"/>
                <w:color w:val="222222"/>
                <w:sz w:val="21"/>
                <w:szCs w:val="21"/>
              </w:rPr>
              <w:t>广东医科大学成人高等教育招生办公室</w:t>
            </w:r>
          </w:p>
          <w:p w:rsidR="00610AC8" w:rsidRDefault="00CA3519">
            <w:pPr>
              <w:pStyle w:val="a3"/>
              <w:widowControl/>
              <w:spacing w:line="315" w:lineRule="atLeast"/>
              <w:ind w:firstLine="420"/>
              <w:jc w:val="right"/>
              <w:rPr>
                <w:sz w:val="21"/>
                <w:szCs w:val="21"/>
              </w:rPr>
            </w:pPr>
            <w:r>
              <w:rPr>
                <w:rFonts w:ascii="宋体" w:eastAsia="宋体" w:hAnsi="宋体" w:cs="宋体" w:hint="eastAsia"/>
                <w:color w:val="222222"/>
                <w:sz w:val="21"/>
                <w:szCs w:val="21"/>
              </w:rPr>
              <w:t>2021年7月1日</w:t>
            </w:r>
          </w:p>
        </w:tc>
      </w:tr>
    </w:tbl>
    <w:p w:rsidR="00610AC8" w:rsidRDefault="00610AC8">
      <w:bookmarkStart w:id="0" w:name="_GoBack"/>
      <w:bookmarkEnd w:id="0"/>
    </w:p>
    <w:sectPr w:rsidR="00610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10" w:rsidRDefault="00DE2D10" w:rsidP="009B0C73">
      <w:r>
        <w:separator/>
      </w:r>
    </w:p>
  </w:endnote>
  <w:endnote w:type="continuationSeparator" w:id="0">
    <w:p w:rsidR="00DE2D10" w:rsidRDefault="00DE2D10" w:rsidP="009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10" w:rsidRDefault="00DE2D10" w:rsidP="009B0C73">
      <w:r>
        <w:separator/>
      </w:r>
    </w:p>
  </w:footnote>
  <w:footnote w:type="continuationSeparator" w:id="0">
    <w:p w:rsidR="00DE2D10" w:rsidRDefault="00DE2D10" w:rsidP="009B0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445A8"/>
    <w:rsid w:val="00610AC8"/>
    <w:rsid w:val="0066797F"/>
    <w:rsid w:val="008E35B6"/>
    <w:rsid w:val="009B0C73"/>
    <w:rsid w:val="00C53504"/>
    <w:rsid w:val="00CA3519"/>
    <w:rsid w:val="00DE2D10"/>
    <w:rsid w:val="6274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9B0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B0C73"/>
    <w:rPr>
      <w:rFonts w:asciiTheme="minorHAnsi" w:eastAsiaTheme="minorEastAsia" w:hAnsiTheme="minorHAnsi" w:cstheme="minorBidi"/>
      <w:kern w:val="2"/>
      <w:sz w:val="18"/>
      <w:szCs w:val="18"/>
    </w:rPr>
  </w:style>
  <w:style w:type="paragraph" w:styleId="a6">
    <w:name w:val="footer"/>
    <w:basedOn w:val="a"/>
    <w:link w:val="Char0"/>
    <w:rsid w:val="009B0C73"/>
    <w:pPr>
      <w:tabs>
        <w:tab w:val="center" w:pos="4153"/>
        <w:tab w:val="right" w:pos="8306"/>
      </w:tabs>
      <w:snapToGrid w:val="0"/>
      <w:jc w:val="left"/>
    </w:pPr>
    <w:rPr>
      <w:sz w:val="18"/>
      <w:szCs w:val="18"/>
    </w:rPr>
  </w:style>
  <w:style w:type="character" w:customStyle="1" w:styleId="Char0">
    <w:name w:val="页脚 Char"/>
    <w:basedOn w:val="a0"/>
    <w:link w:val="a6"/>
    <w:rsid w:val="009B0C73"/>
    <w:rPr>
      <w:rFonts w:asciiTheme="minorHAnsi" w:eastAsiaTheme="minorEastAsia" w:hAnsiTheme="minorHAnsi" w:cstheme="minorBidi"/>
      <w:kern w:val="2"/>
      <w:sz w:val="18"/>
      <w:szCs w:val="18"/>
    </w:rPr>
  </w:style>
  <w:style w:type="paragraph" w:styleId="a7">
    <w:name w:val="Balloon Text"/>
    <w:basedOn w:val="a"/>
    <w:link w:val="Char1"/>
    <w:rsid w:val="0066797F"/>
    <w:rPr>
      <w:sz w:val="18"/>
      <w:szCs w:val="18"/>
    </w:rPr>
  </w:style>
  <w:style w:type="character" w:customStyle="1" w:styleId="Char1">
    <w:name w:val="批注框文本 Char"/>
    <w:basedOn w:val="a0"/>
    <w:link w:val="a7"/>
    <w:rsid w:val="0066797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9B0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B0C73"/>
    <w:rPr>
      <w:rFonts w:asciiTheme="minorHAnsi" w:eastAsiaTheme="minorEastAsia" w:hAnsiTheme="minorHAnsi" w:cstheme="minorBidi"/>
      <w:kern w:val="2"/>
      <w:sz w:val="18"/>
      <w:szCs w:val="18"/>
    </w:rPr>
  </w:style>
  <w:style w:type="paragraph" w:styleId="a6">
    <w:name w:val="footer"/>
    <w:basedOn w:val="a"/>
    <w:link w:val="Char0"/>
    <w:rsid w:val="009B0C73"/>
    <w:pPr>
      <w:tabs>
        <w:tab w:val="center" w:pos="4153"/>
        <w:tab w:val="right" w:pos="8306"/>
      </w:tabs>
      <w:snapToGrid w:val="0"/>
      <w:jc w:val="left"/>
    </w:pPr>
    <w:rPr>
      <w:sz w:val="18"/>
      <w:szCs w:val="18"/>
    </w:rPr>
  </w:style>
  <w:style w:type="character" w:customStyle="1" w:styleId="Char0">
    <w:name w:val="页脚 Char"/>
    <w:basedOn w:val="a0"/>
    <w:link w:val="a6"/>
    <w:rsid w:val="009B0C73"/>
    <w:rPr>
      <w:rFonts w:asciiTheme="minorHAnsi" w:eastAsiaTheme="minorEastAsia" w:hAnsiTheme="minorHAnsi" w:cstheme="minorBidi"/>
      <w:kern w:val="2"/>
      <w:sz w:val="18"/>
      <w:szCs w:val="18"/>
    </w:rPr>
  </w:style>
  <w:style w:type="paragraph" w:styleId="a7">
    <w:name w:val="Balloon Text"/>
    <w:basedOn w:val="a"/>
    <w:link w:val="Char1"/>
    <w:rsid w:val="0066797F"/>
    <w:rPr>
      <w:sz w:val="18"/>
      <w:szCs w:val="18"/>
    </w:rPr>
  </w:style>
  <w:style w:type="character" w:customStyle="1" w:styleId="Char1">
    <w:name w:val="批注框文本 Char"/>
    <w:basedOn w:val="a0"/>
    <w:link w:val="a7"/>
    <w:rsid w:val="006679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C_jiahui</dc:creator>
  <cp:lastModifiedBy>dreamsummit</cp:lastModifiedBy>
  <cp:revision>3</cp:revision>
  <dcterms:created xsi:type="dcterms:W3CDTF">2021-09-09T02:23:00Z</dcterms:created>
  <dcterms:modified xsi:type="dcterms:W3CDTF">2021-09-09T02:28:00Z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1F2BD5F22E574164AF07586868671DAC</vt:lpwstr>
  </property>
</Properties>
</file>